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7" w:rsidRPr="004D462B" w:rsidRDefault="00850027" w:rsidP="0085002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4D462B">
        <w:rPr>
          <w:rFonts w:ascii="Times New Roman" w:eastAsia="Times New Roman" w:hAnsi="Times New Roman" w:cs="Times New Roman"/>
          <w:b/>
          <w:bCs/>
          <w:lang w:eastAsia="ru-RU"/>
        </w:rPr>
        <w:t>ОКАЗАТЕЛИ</w:t>
      </w:r>
      <w:r w:rsidRPr="004D462B">
        <w:rPr>
          <w:rFonts w:ascii="Times New Roman" w:eastAsia="Times New Roman" w:hAnsi="Times New Roman" w:cs="Times New Roman"/>
          <w:b/>
          <w:bCs/>
          <w:lang w:eastAsia="ru-RU"/>
        </w:rPr>
        <w:br/>
        <w:t>ДЕЯТЕЛЬНОСТИ ПРОФЕССИОНАЛЬНОЙ ОБРАЗОВАТЕЛЬНОЙ ОРГАНИЗАЦИИ,</w:t>
      </w:r>
      <w:r w:rsidRPr="004D462B">
        <w:rPr>
          <w:rFonts w:ascii="Times New Roman" w:eastAsia="Times New Roman" w:hAnsi="Times New Roman" w:cs="Times New Roman"/>
          <w:b/>
          <w:bCs/>
          <w:lang w:eastAsia="ru-RU"/>
        </w:rPr>
        <w:br/>
        <w:t>ПОДЛЕЖАЩЕЙ САМООБСЛЕДОВАНИЮ</w:t>
      </w:r>
    </w:p>
    <w:tbl>
      <w:tblPr>
        <w:tblW w:w="5100" w:type="pct"/>
        <w:tblCellSpacing w:w="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7036"/>
        <w:gridCol w:w="1958"/>
      </w:tblGrid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372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372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636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337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206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386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/43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014D06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  <w:r w:rsidR="00850027"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014D06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  <w:r w:rsidR="00850027"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014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человека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014D06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1252 </w:t>
            </w:r>
            <w:r w:rsidR="00850027"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014D06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269  </w:t>
            </w:r>
            <w:r w:rsidR="00850027"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014D06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 </w:t>
            </w:r>
            <w:r w:rsidR="00850027"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0027" w:rsidRPr="004D462B" w:rsidTr="00850027">
        <w:trPr>
          <w:tblCellSpacing w:w="0" w:type="dxa"/>
        </w:trPr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28" w:type="dxa"/>
              <w:left w:w="74" w:type="dxa"/>
              <w:bottom w:w="28" w:type="dxa"/>
              <w:right w:w="74" w:type="dxa"/>
            </w:tcMar>
            <w:hideMark/>
          </w:tcPr>
          <w:p w:rsidR="00850027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148 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  <w:p w:rsidR="00850027" w:rsidRPr="004D462B" w:rsidRDefault="00850027" w:rsidP="0067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4D4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4.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4.1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31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3.07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%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4.2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единиц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единиц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единиц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единиц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единиц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единиц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lastRenderedPageBreak/>
              <w:t>4.3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2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а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4.3.1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2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а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1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2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а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4.3.2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очно-заочной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4.3.3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4.4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4.4.1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4.4.2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очно-заочной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инвалидов и лиц с ограниченными возможностями здоровья с </w:t>
            </w: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lastRenderedPageBreak/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4.4.3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4.5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014D0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1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4.5.1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014D0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</w:t>
            </w:r>
            <w:r w:rsidR="00D25F1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014D0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1</w:t>
            </w:r>
            <w:r w:rsidR="00D25F16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bookmarkStart w:id="0" w:name="_GoBack"/>
            <w:bookmarkEnd w:id="0"/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4.5.2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очно-заочной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4.5.3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4.6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014D06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Общая численность инвалидов и лиц с ограниченными возможностями </w:t>
            </w:r>
            <w:r w:rsidRPr="00014D06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lastRenderedPageBreak/>
              <w:t>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lastRenderedPageBreak/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lastRenderedPageBreak/>
              <w:t>4.6.1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4.6.2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очно-заочной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4.6.3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по заочной форме обучения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два и более нарушений</w:t>
            </w:r>
            <w:proofErr w:type="gramEnd"/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0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</w:t>
            </w:r>
          </w:p>
        </w:tc>
      </w:tr>
      <w:tr w:rsidR="00850027" w:rsidRPr="009129AC" w:rsidTr="0085002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4.7</w:t>
            </w:r>
          </w:p>
        </w:tc>
        <w:tc>
          <w:tcPr>
            <w:tcW w:w="3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850027" w:rsidP="00671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50027" w:rsidRPr="009129AC" w:rsidRDefault="00D25F16" w:rsidP="00671C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8 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11</w:t>
            </w:r>
            <w:r w:rsidR="00850027" w:rsidRPr="009129AC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%</w:t>
            </w:r>
          </w:p>
        </w:tc>
      </w:tr>
    </w:tbl>
    <w:p w:rsidR="00850027" w:rsidRDefault="00850027" w:rsidP="00850027"/>
    <w:p w:rsidR="00850027" w:rsidRDefault="00850027" w:rsidP="00850027">
      <w:pPr>
        <w:jc w:val="both"/>
      </w:pPr>
    </w:p>
    <w:p w:rsidR="00EB5F8A" w:rsidRDefault="00EB5F8A"/>
    <w:sectPr w:rsidR="00EB5F8A" w:rsidSect="00053F1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0027"/>
    <w:rsid w:val="00014D06"/>
    <w:rsid w:val="004C06F5"/>
    <w:rsid w:val="00850027"/>
    <w:rsid w:val="00D25F16"/>
    <w:rsid w:val="00E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WinStyle</cp:lastModifiedBy>
  <cp:revision>2</cp:revision>
  <cp:lastPrinted>2017-04-18T10:38:00Z</cp:lastPrinted>
  <dcterms:created xsi:type="dcterms:W3CDTF">2017-04-18T10:22:00Z</dcterms:created>
  <dcterms:modified xsi:type="dcterms:W3CDTF">2017-04-20T10:55:00Z</dcterms:modified>
</cp:coreProperties>
</file>